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EDA5" w14:textId="569BC59F" w:rsidR="004E4479" w:rsidRDefault="002D44C3">
      <w:r>
        <w:rPr>
          <w:noProof/>
        </w:rPr>
        <w:t>Company LOGO</w:t>
      </w:r>
    </w:p>
    <w:p w14:paraId="4E308A4D" w14:textId="1FA80C90" w:rsidR="00D66CDC" w:rsidRDefault="002D44C3" w:rsidP="3B4E99F4">
      <w:pPr>
        <w:spacing w:line="259" w:lineRule="auto"/>
        <w:rPr>
          <w:b/>
          <w:bCs/>
          <w:sz w:val="48"/>
          <w:szCs w:val="48"/>
        </w:rPr>
      </w:pPr>
      <w:r>
        <w:rPr>
          <w:b/>
          <w:bCs/>
          <w:sz w:val="48"/>
          <w:szCs w:val="48"/>
        </w:rPr>
        <w:t>Company Name</w:t>
      </w:r>
    </w:p>
    <w:p w14:paraId="7417C17A" w14:textId="021B5512" w:rsidR="00D66CDC" w:rsidRDefault="002D44C3" w:rsidP="3B4E99F4">
      <w:pPr>
        <w:spacing w:line="259" w:lineRule="auto"/>
      </w:pPr>
      <w:r>
        <w:t>Company email</w:t>
      </w:r>
    </w:p>
    <w:p w14:paraId="380A4BD2" w14:textId="77777777" w:rsidR="00343817" w:rsidRDefault="00343817" w:rsidP="00D66CDC">
      <w:pPr>
        <w:rPr>
          <w:sz w:val="36"/>
          <w:szCs w:val="36"/>
        </w:rPr>
      </w:pPr>
    </w:p>
    <w:p w14:paraId="0C8187EA" w14:textId="77777777" w:rsidR="00343817" w:rsidRPr="00343817" w:rsidRDefault="00343817" w:rsidP="00343817">
      <w:pPr>
        <w:jc w:val="center"/>
        <w:rPr>
          <w:b/>
          <w:bCs/>
          <w:sz w:val="32"/>
          <w:szCs w:val="32"/>
        </w:rPr>
      </w:pPr>
      <w:r w:rsidRPr="00343817">
        <w:rPr>
          <w:b/>
          <w:bCs/>
          <w:sz w:val="32"/>
          <w:szCs w:val="32"/>
        </w:rPr>
        <w:t>Annual Leave Policy</w:t>
      </w:r>
    </w:p>
    <w:p w14:paraId="6047CCC9" w14:textId="77777777" w:rsidR="00343817" w:rsidRPr="00343817" w:rsidRDefault="00343817" w:rsidP="00343817">
      <w:pPr>
        <w:rPr>
          <w:b/>
          <w:bCs/>
        </w:rPr>
      </w:pPr>
      <w:r w:rsidRPr="00343817">
        <w:rPr>
          <w:b/>
          <w:bCs/>
        </w:rPr>
        <w:t>Purpose:</w:t>
      </w:r>
    </w:p>
    <w:p w14:paraId="356F3B5F" w14:textId="77777777" w:rsidR="00343817" w:rsidRPr="00343817" w:rsidRDefault="00343817" w:rsidP="00343817"/>
    <w:p w14:paraId="3D881E60" w14:textId="77777777" w:rsidR="00343817" w:rsidRPr="00343817" w:rsidRDefault="00343817" w:rsidP="00343817">
      <w:r w:rsidRPr="00343817">
        <w:t>An annual leave policy sets out the rules for requesting and taking annual leave. The</w:t>
      </w:r>
    </w:p>
    <w:p w14:paraId="37EC05CC" w14:textId="43C41930" w:rsidR="00343817" w:rsidRDefault="00343817" w:rsidP="00343817">
      <w:r w:rsidRPr="00343817">
        <w:t>policy explains how employees can check their entitlement to time off, and any</w:t>
      </w:r>
      <w:r w:rsidR="00665F27">
        <w:t xml:space="preserve"> </w:t>
      </w:r>
      <w:r w:rsidRPr="00343817">
        <w:t>additional pay, for public/bank holidays.</w:t>
      </w:r>
      <w:r>
        <w:t xml:space="preserve"> </w:t>
      </w:r>
      <w:r w:rsidRPr="00343817">
        <w:t>It can also help to avoid complaints should a holiday leave request be declined, as</w:t>
      </w:r>
      <w:r>
        <w:t xml:space="preserve"> </w:t>
      </w:r>
      <w:r w:rsidRPr="00343817">
        <w:t>the policy reminds employees, they should wait for leave to be authorised before</w:t>
      </w:r>
      <w:r>
        <w:t xml:space="preserve"> </w:t>
      </w:r>
      <w:r w:rsidRPr="00343817">
        <w:t>making holiday plans.</w:t>
      </w:r>
    </w:p>
    <w:p w14:paraId="79033634" w14:textId="77777777" w:rsidR="00343817" w:rsidRPr="00343817" w:rsidRDefault="00343817" w:rsidP="00343817"/>
    <w:p w14:paraId="74A72558" w14:textId="77777777" w:rsidR="00343817" w:rsidRPr="00343817" w:rsidRDefault="00343817" w:rsidP="00343817">
      <w:pPr>
        <w:rPr>
          <w:b/>
          <w:bCs/>
        </w:rPr>
      </w:pPr>
      <w:r w:rsidRPr="00343817">
        <w:rPr>
          <w:b/>
          <w:bCs/>
        </w:rPr>
        <w:t>Aim:</w:t>
      </w:r>
    </w:p>
    <w:p w14:paraId="30609AB7" w14:textId="77777777" w:rsidR="00343817" w:rsidRPr="00343817" w:rsidRDefault="00343817" w:rsidP="00343817"/>
    <w:p w14:paraId="4B5090B0" w14:textId="77777777" w:rsidR="00343817" w:rsidRDefault="00343817" w:rsidP="00343817">
      <w:r w:rsidRPr="00343817">
        <w:t>To ensure employees understand and follow the correct holiday leave procedures.</w:t>
      </w:r>
    </w:p>
    <w:p w14:paraId="26841525" w14:textId="77777777" w:rsidR="00343817" w:rsidRPr="00343817" w:rsidRDefault="00343817" w:rsidP="00343817"/>
    <w:p w14:paraId="6CCB832E" w14:textId="77777777" w:rsidR="00343817" w:rsidRPr="00343817" w:rsidRDefault="00343817" w:rsidP="00343817">
      <w:pPr>
        <w:rPr>
          <w:b/>
          <w:bCs/>
        </w:rPr>
      </w:pPr>
      <w:r w:rsidRPr="00343817">
        <w:rPr>
          <w:b/>
          <w:bCs/>
        </w:rPr>
        <w:t>Annual Holidays:</w:t>
      </w:r>
    </w:p>
    <w:p w14:paraId="14705292" w14:textId="77777777" w:rsidR="00343817" w:rsidRPr="00343817" w:rsidRDefault="00343817" w:rsidP="00343817"/>
    <w:p w14:paraId="04E61F17" w14:textId="2148E6D5" w:rsidR="00343817" w:rsidRDefault="00343817" w:rsidP="00343817">
      <w:r w:rsidRPr="00343817">
        <w:t>Your annual holiday entitlement is shown in your individual Employment Contract</w:t>
      </w:r>
      <w:r w:rsidR="00665F27">
        <w:t xml:space="preserve"> </w:t>
      </w:r>
      <w:r w:rsidRPr="00343817">
        <w:t>terms and conditions.</w:t>
      </w:r>
      <w:r>
        <w:t xml:space="preserve"> </w:t>
      </w:r>
      <w:r w:rsidRPr="00343817">
        <w:t>It is our policy to encourage you to take all your holiday entitlement in the current</w:t>
      </w:r>
      <w:r>
        <w:t xml:space="preserve"> </w:t>
      </w:r>
      <w:r w:rsidRPr="00343817">
        <w:t>holiday year, however we do allow up to 5 days to be carried forward. No payment in</w:t>
      </w:r>
      <w:r>
        <w:t xml:space="preserve"> l</w:t>
      </w:r>
      <w:r w:rsidRPr="00343817">
        <w:t>ieu will be made in respect of untaken holidays other than in the event of termination</w:t>
      </w:r>
      <w:r>
        <w:t xml:space="preserve"> </w:t>
      </w:r>
      <w:r w:rsidRPr="00343817">
        <w:t>of your employment.</w:t>
      </w:r>
    </w:p>
    <w:p w14:paraId="2994F045" w14:textId="77777777" w:rsidR="00343817" w:rsidRPr="00343817" w:rsidRDefault="00343817" w:rsidP="00343817"/>
    <w:p w14:paraId="716535D4" w14:textId="75C74FFE" w:rsidR="00343817" w:rsidRDefault="00343817" w:rsidP="00343817">
      <w:r w:rsidRPr="00343817">
        <w:t>Once you have submitted your holiday request, you will receive an email from your</w:t>
      </w:r>
      <w:r w:rsidR="00665F27">
        <w:t xml:space="preserve"> </w:t>
      </w:r>
      <w:r w:rsidRPr="00343817">
        <w:t>line manager authorising or declining your request. If you feel that your request has</w:t>
      </w:r>
      <w:r w:rsidR="00665F27">
        <w:t xml:space="preserve"> </w:t>
      </w:r>
      <w:r w:rsidRPr="00343817">
        <w:t>been unreasonably refused for any reason you should refer the matter to your</w:t>
      </w:r>
      <w:r w:rsidR="00665F27">
        <w:t xml:space="preserve"> </w:t>
      </w:r>
      <w:r w:rsidRPr="00343817">
        <w:t>manager. They will endeavour to ensure that you have every opportunity to take your</w:t>
      </w:r>
      <w:r w:rsidR="00665F27">
        <w:t xml:space="preserve"> </w:t>
      </w:r>
      <w:r w:rsidRPr="00343817">
        <w:t>holidays at the time you request them, but they will need to balance your requests</w:t>
      </w:r>
      <w:r w:rsidR="00665F27">
        <w:t xml:space="preserve"> </w:t>
      </w:r>
      <w:r w:rsidRPr="00343817">
        <w:t xml:space="preserve">with the needs of the organisation. </w:t>
      </w:r>
    </w:p>
    <w:p w14:paraId="694B79D1" w14:textId="77777777" w:rsidR="00343817" w:rsidRDefault="00343817" w:rsidP="00343817"/>
    <w:p w14:paraId="70185328" w14:textId="534D09A3" w:rsidR="00343817" w:rsidRPr="00343817" w:rsidRDefault="00343817" w:rsidP="00343817">
      <w:r>
        <w:t xml:space="preserve">You may additionally submit your leave dates on the </w:t>
      </w:r>
      <w:r w:rsidR="005777F5" w:rsidRPr="005777F5">
        <w:rPr>
          <w:b/>
          <w:bCs/>
        </w:rPr>
        <w:t>COMPANY NAME</w:t>
      </w:r>
      <w:r>
        <w:t xml:space="preserve"> Xero Me system for record keeping and communication with other staff members. You should wait to receive authorisation from your manager before you make any firm holiday arrangements. Any costs incurred due to cancelling or changing prior arrangements will be your responsibility. </w:t>
      </w:r>
    </w:p>
    <w:p w14:paraId="7A4E6E09" w14:textId="76314824" w:rsidR="00343817" w:rsidRPr="00343817" w:rsidRDefault="00343817" w:rsidP="00343817"/>
    <w:p w14:paraId="4D2F962C" w14:textId="1D721C51" w:rsidR="00343817" w:rsidRPr="00343817" w:rsidRDefault="00343817" w:rsidP="00343817">
      <w:r>
        <w:t>You may not normally take more than two working weeks consecutively. Your holiday pay will be at your normal basic pay unless shown otherwise on your contract.</w:t>
      </w:r>
    </w:p>
    <w:p w14:paraId="694C9BB3" w14:textId="77777777" w:rsidR="00343817" w:rsidRDefault="00343817" w:rsidP="00343817"/>
    <w:p w14:paraId="35A10567" w14:textId="39F78F98" w:rsidR="00343817" w:rsidRDefault="00343817" w:rsidP="00343817">
      <w:pPr>
        <w:rPr>
          <w:b/>
          <w:bCs/>
        </w:rPr>
      </w:pPr>
      <w:r w:rsidRPr="00343817">
        <w:rPr>
          <w:b/>
          <w:bCs/>
        </w:rPr>
        <w:t>Public/Bank Holidays:</w:t>
      </w:r>
    </w:p>
    <w:p w14:paraId="356DE285" w14:textId="77777777" w:rsidR="00343817" w:rsidRDefault="00343817" w:rsidP="00343817">
      <w:pPr>
        <w:rPr>
          <w:b/>
          <w:bCs/>
        </w:rPr>
      </w:pPr>
    </w:p>
    <w:p w14:paraId="6E6FD4E4" w14:textId="77777777" w:rsidR="00343817" w:rsidRPr="00343817" w:rsidRDefault="00343817" w:rsidP="00343817">
      <w:r w:rsidRPr="00343817">
        <w:t>Your entitlement to time off for public/bank is shown in your individual Employment</w:t>
      </w:r>
    </w:p>
    <w:p w14:paraId="5347266A" w14:textId="77777777" w:rsidR="00343817" w:rsidRDefault="00343817" w:rsidP="00343817">
      <w:r w:rsidRPr="00343817">
        <w:t>Contract.</w:t>
      </w:r>
    </w:p>
    <w:p w14:paraId="3BD34407" w14:textId="77777777" w:rsidR="00343817" w:rsidRDefault="00343817" w:rsidP="00343817"/>
    <w:p w14:paraId="17193828" w14:textId="733B168E" w:rsidR="00343817" w:rsidRPr="00343817" w:rsidRDefault="00343817" w:rsidP="00343817">
      <w:pPr>
        <w:rPr>
          <w:b/>
          <w:bCs/>
        </w:rPr>
      </w:pPr>
      <w:r w:rsidRPr="00343817">
        <w:rPr>
          <w:b/>
          <w:bCs/>
        </w:rPr>
        <w:lastRenderedPageBreak/>
        <w:t>Version Control</w:t>
      </w:r>
    </w:p>
    <w:tbl>
      <w:tblPr>
        <w:tblStyle w:val="TableGrid"/>
        <w:tblW w:w="0" w:type="auto"/>
        <w:tblInd w:w="-5" w:type="dxa"/>
        <w:tblLook w:val="04A0" w:firstRow="1" w:lastRow="0" w:firstColumn="1" w:lastColumn="0" w:noHBand="0" w:noVBand="1"/>
      </w:tblPr>
      <w:tblGrid>
        <w:gridCol w:w="2259"/>
        <w:gridCol w:w="2254"/>
        <w:gridCol w:w="2254"/>
        <w:gridCol w:w="2254"/>
      </w:tblGrid>
      <w:tr w:rsidR="00343817" w14:paraId="33F4C4B7" w14:textId="77777777" w:rsidTr="00FC2E9B">
        <w:tc>
          <w:tcPr>
            <w:tcW w:w="2254" w:type="dxa"/>
          </w:tcPr>
          <w:p w14:paraId="51D3162F" w14:textId="0590AAE4" w:rsidR="00343817" w:rsidRDefault="00343817" w:rsidP="00343817">
            <w:r>
              <w:t>Version</w:t>
            </w:r>
          </w:p>
        </w:tc>
        <w:tc>
          <w:tcPr>
            <w:tcW w:w="2254" w:type="dxa"/>
          </w:tcPr>
          <w:p w14:paraId="2A06E6D0" w14:textId="61096005" w:rsidR="00343817" w:rsidRDefault="00343817" w:rsidP="00343817">
            <w:r>
              <w:t>Author</w:t>
            </w:r>
          </w:p>
        </w:tc>
        <w:tc>
          <w:tcPr>
            <w:tcW w:w="2254" w:type="dxa"/>
          </w:tcPr>
          <w:p w14:paraId="65D175F4" w14:textId="05C89BE7" w:rsidR="00343817" w:rsidRDefault="00343817" w:rsidP="00343817">
            <w:r>
              <w:t>Date</w:t>
            </w:r>
          </w:p>
        </w:tc>
        <w:tc>
          <w:tcPr>
            <w:tcW w:w="2254" w:type="dxa"/>
          </w:tcPr>
          <w:p w14:paraId="2FA6FAEB" w14:textId="614CEEE4" w:rsidR="00343817" w:rsidRDefault="00343817" w:rsidP="00343817">
            <w:r>
              <w:t xml:space="preserve">Approved by </w:t>
            </w:r>
            <w:r w:rsidR="005777F5" w:rsidRPr="005777F5">
              <w:rPr>
                <w:b/>
                <w:bCs/>
              </w:rPr>
              <w:t>COMPANY NAME</w:t>
            </w:r>
            <w:r>
              <w:t xml:space="preserve"> </w:t>
            </w:r>
          </w:p>
        </w:tc>
      </w:tr>
      <w:tr w:rsidR="00343817" w14:paraId="580D9713" w14:textId="77777777" w:rsidTr="00FC2E9B">
        <w:tc>
          <w:tcPr>
            <w:tcW w:w="2254" w:type="dxa"/>
          </w:tcPr>
          <w:p w14:paraId="502B74ED" w14:textId="7226C89B" w:rsidR="00343817" w:rsidRDefault="00343817" w:rsidP="00343817">
            <w:r>
              <w:t>1</w:t>
            </w:r>
          </w:p>
        </w:tc>
        <w:tc>
          <w:tcPr>
            <w:tcW w:w="2254" w:type="dxa"/>
          </w:tcPr>
          <w:p w14:paraId="2E3176C6" w14:textId="1AA7D190" w:rsidR="00343817" w:rsidRDefault="00343817" w:rsidP="00343817"/>
        </w:tc>
        <w:tc>
          <w:tcPr>
            <w:tcW w:w="2254" w:type="dxa"/>
          </w:tcPr>
          <w:p w14:paraId="3AA65921" w14:textId="331F511D" w:rsidR="00343817" w:rsidRDefault="00343817" w:rsidP="00343817"/>
        </w:tc>
        <w:tc>
          <w:tcPr>
            <w:tcW w:w="2254" w:type="dxa"/>
          </w:tcPr>
          <w:p w14:paraId="1AB6209B" w14:textId="77777777" w:rsidR="00343817" w:rsidRDefault="00343817" w:rsidP="00343817"/>
        </w:tc>
      </w:tr>
      <w:tr w:rsidR="00FC2E9B" w14:paraId="0E220F25" w14:textId="77777777" w:rsidTr="00FC2E9B">
        <w:tc>
          <w:tcPr>
            <w:tcW w:w="2259" w:type="dxa"/>
          </w:tcPr>
          <w:p w14:paraId="091224B1" w14:textId="3FF455A9" w:rsidR="00FC2E9B" w:rsidRDefault="00FC2E9B" w:rsidP="000837ED"/>
        </w:tc>
        <w:tc>
          <w:tcPr>
            <w:tcW w:w="2254" w:type="dxa"/>
          </w:tcPr>
          <w:p w14:paraId="1816446A" w14:textId="344115F6" w:rsidR="00FC2E9B" w:rsidRDefault="00FC2E9B" w:rsidP="000837ED"/>
        </w:tc>
        <w:tc>
          <w:tcPr>
            <w:tcW w:w="2254" w:type="dxa"/>
          </w:tcPr>
          <w:p w14:paraId="294B4D22" w14:textId="686CE2AE" w:rsidR="00FC2E9B" w:rsidRDefault="00FC2E9B" w:rsidP="000837ED"/>
        </w:tc>
        <w:tc>
          <w:tcPr>
            <w:tcW w:w="2254" w:type="dxa"/>
          </w:tcPr>
          <w:p w14:paraId="48DAD4C9" w14:textId="77777777" w:rsidR="00FC2E9B" w:rsidRDefault="00FC2E9B" w:rsidP="000837ED"/>
        </w:tc>
      </w:tr>
    </w:tbl>
    <w:p w14:paraId="442BB513" w14:textId="77777777" w:rsidR="00343817" w:rsidRPr="00343817" w:rsidRDefault="00343817" w:rsidP="00343817"/>
    <w:p w14:paraId="052AC5F0" w14:textId="77777777" w:rsidR="00343817" w:rsidRPr="00343817" w:rsidRDefault="00343817" w:rsidP="00343817">
      <w:pPr>
        <w:rPr>
          <w:b/>
          <w:bCs/>
        </w:rPr>
      </w:pPr>
    </w:p>
    <w:p w14:paraId="5B8C2601" w14:textId="77777777" w:rsidR="00343817" w:rsidRPr="00343817" w:rsidRDefault="00343817" w:rsidP="00D66CDC"/>
    <w:sectPr w:rsidR="00343817" w:rsidRPr="00343817">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3BFA" w14:textId="77777777" w:rsidR="0068530B" w:rsidRDefault="0068530B" w:rsidP="00343817">
      <w:r>
        <w:separator/>
      </w:r>
    </w:p>
  </w:endnote>
  <w:endnote w:type="continuationSeparator" w:id="0">
    <w:p w14:paraId="5FB1A305" w14:textId="77777777" w:rsidR="0068530B" w:rsidRDefault="0068530B" w:rsidP="0034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8506557"/>
      <w:docPartObj>
        <w:docPartGallery w:val="Page Numbers (Bottom of Page)"/>
        <w:docPartUnique/>
      </w:docPartObj>
    </w:sdtPr>
    <w:sdtContent>
      <w:p w14:paraId="0C7DED6D" w14:textId="5BEFD0E8" w:rsidR="00343817" w:rsidRDefault="00343817"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7AA53" w14:textId="77777777" w:rsidR="00343817" w:rsidRDefault="00343817" w:rsidP="003438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868961"/>
      <w:docPartObj>
        <w:docPartGallery w:val="Page Numbers (Bottom of Page)"/>
        <w:docPartUnique/>
      </w:docPartObj>
    </w:sdtPr>
    <w:sdtContent>
      <w:p w14:paraId="591AF5A3" w14:textId="65D937B8" w:rsidR="00343817" w:rsidRDefault="00343817"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95E264" w14:textId="77777777" w:rsidR="00343817" w:rsidRDefault="00343817" w:rsidP="003438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551D" w14:textId="77777777" w:rsidR="0068530B" w:rsidRDefault="0068530B" w:rsidP="00343817">
      <w:r>
        <w:separator/>
      </w:r>
    </w:p>
  </w:footnote>
  <w:footnote w:type="continuationSeparator" w:id="0">
    <w:p w14:paraId="39ADEEE4" w14:textId="77777777" w:rsidR="0068530B" w:rsidRDefault="0068530B" w:rsidP="0034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057B1A"/>
    <w:rsid w:val="0017450B"/>
    <w:rsid w:val="001A623F"/>
    <w:rsid w:val="002D44C3"/>
    <w:rsid w:val="003322F1"/>
    <w:rsid w:val="00343817"/>
    <w:rsid w:val="004240D6"/>
    <w:rsid w:val="00437A24"/>
    <w:rsid w:val="004E4479"/>
    <w:rsid w:val="005777F5"/>
    <w:rsid w:val="00602410"/>
    <w:rsid w:val="0061413E"/>
    <w:rsid w:val="00665F27"/>
    <w:rsid w:val="0068530B"/>
    <w:rsid w:val="008624FD"/>
    <w:rsid w:val="008E1C8A"/>
    <w:rsid w:val="00987F21"/>
    <w:rsid w:val="00BB4F43"/>
    <w:rsid w:val="00C0502F"/>
    <w:rsid w:val="00D66CDC"/>
    <w:rsid w:val="00E92B05"/>
    <w:rsid w:val="00EB4D2D"/>
    <w:rsid w:val="00FC2E9B"/>
    <w:rsid w:val="02D6B059"/>
    <w:rsid w:val="04DDF605"/>
    <w:rsid w:val="1742E67E"/>
    <w:rsid w:val="20F7480D"/>
    <w:rsid w:val="27D610AE"/>
    <w:rsid w:val="2B8EA5DA"/>
    <w:rsid w:val="2C7141D4"/>
    <w:rsid w:val="3B4E99F4"/>
    <w:rsid w:val="3F19CF8F"/>
    <w:rsid w:val="6852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343817"/>
    <w:rPr>
      <w:color w:val="0563C1" w:themeColor="hyperlink"/>
      <w:u w:val="single"/>
    </w:rPr>
  </w:style>
  <w:style w:type="character" w:styleId="UnresolvedMention">
    <w:name w:val="Unresolved Mention"/>
    <w:basedOn w:val="DefaultParagraphFont"/>
    <w:uiPriority w:val="99"/>
    <w:semiHidden/>
    <w:unhideWhenUsed/>
    <w:rsid w:val="00343817"/>
    <w:rPr>
      <w:color w:val="605E5C"/>
      <w:shd w:val="clear" w:color="auto" w:fill="E1DFDD"/>
    </w:rPr>
  </w:style>
  <w:style w:type="table" w:styleId="TableGrid">
    <w:name w:val="Table Grid"/>
    <w:basedOn w:val="TableNormal"/>
    <w:uiPriority w:val="39"/>
    <w:rsid w:val="0034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3817"/>
    <w:pPr>
      <w:tabs>
        <w:tab w:val="center" w:pos="4513"/>
        <w:tab w:val="right" w:pos="9026"/>
      </w:tabs>
    </w:pPr>
  </w:style>
  <w:style w:type="character" w:customStyle="1" w:styleId="FooterChar">
    <w:name w:val="Footer Char"/>
    <w:basedOn w:val="DefaultParagraphFont"/>
    <w:link w:val="Footer"/>
    <w:uiPriority w:val="99"/>
    <w:rsid w:val="00343817"/>
  </w:style>
  <w:style w:type="character" w:styleId="PageNumber">
    <w:name w:val="page number"/>
    <w:basedOn w:val="DefaultParagraphFont"/>
    <w:uiPriority w:val="99"/>
    <w:semiHidden/>
    <w:unhideWhenUsed/>
    <w:rsid w:val="00343817"/>
  </w:style>
  <w:style w:type="paragraph" w:styleId="Header">
    <w:name w:val="header"/>
    <w:basedOn w:val="Normal"/>
    <w:link w:val="HeaderChar"/>
    <w:uiPriority w:val="99"/>
    <w:semiHidden/>
    <w:unhideWhenUsed/>
    <w:rsid w:val="008624FD"/>
    <w:pPr>
      <w:tabs>
        <w:tab w:val="center" w:pos="4680"/>
        <w:tab w:val="right" w:pos="9360"/>
      </w:tabs>
    </w:pPr>
  </w:style>
  <w:style w:type="character" w:customStyle="1" w:styleId="HeaderChar">
    <w:name w:val="Header Char"/>
    <w:basedOn w:val="DefaultParagraphFont"/>
    <w:link w:val="Header"/>
    <w:uiPriority w:val="99"/>
    <w:semiHidden/>
    <w:rsid w:val="0086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8068">
      <w:bodyDiv w:val="1"/>
      <w:marLeft w:val="0"/>
      <w:marRight w:val="0"/>
      <w:marTop w:val="0"/>
      <w:marBottom w:val="0"/>
      <w:divBdr>
        <w:top w:val="none" w:sz="0" w:space="0" w:color="auto"/>
        <w:left w:val="none" w:sz="0" w:space="0" w:color="auto"/>
        <w:bottom w:val="none" w:sz="0" w:space="0" w:color="auto"/>
        <w:right w:val="none" w:sz="0" w:space="0" w:color="auto"/>
      </w:divBdr>
    </w:div>
    <w:div w:id="1030839279">
      <w:bodyDiv w:val="1"/>
      <w:marLeft w:val="0"/>
      <w:marRight w:val="0"/>
      <w:marTop w:val="0"/>
      <w:marBottom w:val="0"/>
      <w:divBdr>
        <w:top w:val="none" w:sz="0" w:space="0" w:color="auto"/>
        <w:left w:val="none" w:sz="0" w:space="0" w:color="auto"/>
        <w:bottom w:val="none" w:sz="0" w:space="0" w:color="auto"/>
        <w:right w:val="none" w:sz="0" w:space="0" w:color="auto"/>
      </w:divBdr>
    </w:div>
    <w:div w:id="1863090028">
      <w:bodyDiv w:val="1"/>
      <w:marLeft w:val="0"/>
      <w:marRight w:val="0"/>
      <w:marTop w:val="0"/>
      <w:marBottom w:val="0"/>
      <w:divBdr>
        <w:top w:val="none" w:sz="0" w:space="0" w:color="auto"/>
        <w:left w:val="none" w:sz="0" w:space="0" w:color="auto"/>
        <w:bottom w:val="none" w:sz="0" w:space="0" w:color="auto"/>
        <w:right w:val="none" w:sz="0" w:space="0" w:color="auto"/>
      </w:divBdr>
    </w:div>
    <w:div w:id="1967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648BF-17AB-4BFD-8319-5A20AC33588C}">
  <ds:schemaRefs>
    <ds:schemaRef ds:uri="http://schemas.openxmlformats.org/officeDocument/2006/bibliography"/>
  </ds:schemaRefs>
</ds:datastoreItem>
</file>

<file path=customXml/itemProps2.xml><?xml version="1.0" encoding="utf-8"?>
<ds:datastoreItem xmlns:ds="http://schemas.openxmlformats.org/officeDocument/2006/customXml" ds:itemID="{1FEB7646-91F4-4D9C-9AE9-6B5BE0D36A44}">
  <ds:schemaRefs>
    <ds:schemaRef ds:uri="http://schemas.microsoft.com/sharepoint/v3/contenttype/forms"/>
  </ds:schemaRefs>
</ds:datastoreItem>
</file>

<file path=customXml/itemProps3.xml><?xml version="1.0" encoding="utf-8"?>
<ds:datastoreItem xmlns:ds="http://schemas.openxmlformats.org/officeDocument/2006/customXml" ds:itemID="{2ECF779F-E1EF-47DB-856C-9D54DF51B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3AB30-53B7-45D4-8BBF-7F3F5C519A63}">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12</cp:revision>
  <dcterms:created xsi:type="dcterms:W3CDTF">2025-02-09T18:31:00Z</dcterms:created>
  <dcterms:modified xsi:type="dcterms:W3CDTF">2025-05-08T10:41:00Z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28900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