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2C500FBA" w:rsidR="004E4479" w:rsidRDefault="002A23F6">
      <w:r>
        <w:rPr>
          <w:noProof/>
        </w:rPr>
        <w:t>Company LOGO</w:t>
      </w:r>
    </w:p>
    <w:p w14:paraId="6123DD80" w14:textId="5AF7F6A2" w:rsidR="2D5C73A8" w:rsidRDefault="002A23F6" w:rsidP="50C488D0">
      <w:pPr>
        <w:spacing w:line="259" w:lineRule="auto"/>
      </w:pPr>
      <w:r>
        <w:rPr>
          <w:b/>
          <w:bCs/>
          <w:sz w:val="48"/>
          <w:szCs w:val="48"/>
        </w:rPr>
        <w:t>Company Name</w:t>
      </w:r>
    </w:p>
    <w:p w14:paraId="7DB98EE3" w14:textId="43A4791C" w:rsidR="00226C98" w:rsidRDefault="002A23F6" w:rsidP="00D66CDC">
      <w:pPr>
        <w:rPr>
          <w:sz w:val="36"/>
          <w:szCs w:val="36"/>
        </w:rPr>
      </w:pPr>
      <w:r>
        <w:t xml:space="preserve">Company Email </w:t>
      </w:r>
    </w:p>
    <w:p w14:paraId="5CA5B723" w14:textId="3865D0E2" w:rsidR="00226C98" w:rsidRPr="00226C98" w:rsidRDefault="00226C98" w:rsidP="00226C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Code of Conduct for Board of Trustees</w:t>
      </w:r>
    </w:p>
    <w:p w14:paraId="3FF53AD4" w14:textId="77777777" w:rsidR="00226C98" w:rsidRDefault="00226C98" w:rsidP="00226C98">
      <w:pPr>
        <w:rPr>
          <w:b/>
          <w:bCs/>
        </w:rPr>
      </w:pPr>
    </w:p>
    <w:p w14:paraId="1B8F2EC8" w14:textId="7D0AC54D" w:rsidR="00226C98" w:rsidRPr="00226C98" w:rsidRDefault="00226C98" w:rsidP="00226C98">
      <w:pPr>
        <w:pStyle w:val="ListParagraph"/>
        <w:numPr>
          <w:ilvl w:val="0"/>
          <w:numId w:val="1"/>
        </w:numPr>
        <w:rPr>
          <w:b/>
          <w:bCs/>
        </w:rPr>
      </w:pPr>
      <w:r w:rsidRPr="00226C98">
        <w:rPr>
          <w:b/>
          <w:bCs/>
        </w:rPr>
        <w:t>Conduct of Trustees</w:t>
      </w:r>
    </w:p>
    <w:p w14:paraId="093623DF" w14:textId="77777777" w:rsidR="00226C98" w:rsidRPr="00226C98" w:rsidRDefault="00226C98" w:rsidP="00226C98">
      <w:pPr>
        <w:pStyle w:val="ListParagraph"/>
      </w:pPr>
    </w:p>
    <w:p w14:paraId="7A83F81F" w14:textId="3D942904" w:rsidR="00226C98" w:rsidRDefault="00226C98" w:rsidP="00226C98">
      <w:r w:rsidRPr="00226C98">
        <w:t>A Trustee must observe the code of conduct of the Board of Trustees whenever</w:t>
      </w:r>
      <w:r w:rsidR="00FA3F97">
        <w:t xml:space="preserve"> </w:t>
      </w:r>
      <w:r w:rsidRPr="00226C98">
        <w:t xml:space="preserve">he/she </w:t>
      </w:r>
      <w:r w:rsidR="00FA3F97">
        <w:t>–</w:t>
      </w:r>
    </w:p>
    <w:p w14:paraId="0AB8699D" w14:textId="77777777" w:rsidR="00FA3F97" w:rsidRPr="00226C98" w:rsidRDefault="00FA3F97" w:rsidP="00226C98"/>
    <w:p w14:paraId="33D2C183" w14:textId="65DA7A1B" w:rsidR="00226C98" w:rsidRPr="00226C98" w:rsidRDefault="00226C98" w:rsidP="00226C98">
      <w:r>
        <w:t xml:space="preserve">● Is engaged in a business meeting of the </w:t>
      </w:r>
      <w:r w:rsidR="54DA9F78">
        <w:t>Company</w:t>
      </w:r>
    </w:p>
    <w:p w14:paraId="375688FF" w14:textId="5113B4C0" w:rsidR="00226C98" w:rsidRDefault="00226C98" w:rsidP="00226C98">
      <w:r>
        <w:t xml:space="preserve">● Acts as a representative of the </w:t>
      </w:r>
      <w:r w:rsidR="34120B96">
        <w:t xml:space="preserve">Company </w:t>
      </w:r>
      <w:r>
        <w:t>in dealing with outside bodies.</w:t>
      </w:r>
    </w:p>
    <w:p w14:paraId="791E259E" w14:textId="77777777" w:rsidR="00213929" w:rsidRPr="00226C98" w:rsidRDefault="00213929" w:rsidP="00226C98"/>
    <w:p w14:paraId="5AC43BC3" w14:textId="0D518FB9" w:rsidR="00226C98" w:rsidRDefault="00226C98" w:rsidP="00226C98">
      <w:r w:rsidRPr="00226C98">
        <w:t>For the purposes of this code, ‘meeting’ means any meeting of the Board of</w:t>
      </w:r>
      <w:r w:rsidR="00FA3F97">
        <w:t xml:space="preserve"> </w:t>
      </w:r>
      <w:r w:rsidRPr="00226C98">
        <w:t>Trustees and its subgroups, whether formal or informal.</w:t>
      </w:r>
    </w:p>
    <w:p w14:paraId="328ACC65" w14:textId="77777777" w:rsidR="00226C98" w:rsidRPr="00226C98" w:rsidRDefault="00226C98" w:rsidP="00226C98"/>
    <w:p w14:paraId="35359BFB" w14:textId="0ECFFA42" w:rsidR="00226C98" w:rsidRPr="00226C98" w:rsidRDefault="00226C98" w:rsidP="00226C98">
      <w:pPr>
        <w:pStyle w:val="ListParagraph"/>
        <w:numPr>
          <w:ilvl w:val="0"/>
          <w:numId w:val="1"/>
        </w:numPr>
        <w:rPr>
          <w:b/>
          <w:bCs/>
        </w:rPr>
      </w:pPr>
      <w:r w:rsidRPr="00226C98">
        <w:rPr>
          <w:b/>
          <w:bCs/>
        </w:rPr>
        <w:t>Obligations of Trustees</w:t>
      </w:r>
    </w:p>
    <w:p w14:paraId="701C7561" w14:textId="77777777" w:rsidR="00226C98" w:rsidRPr="00226C98" w:rsidRDefault="00226C98" w:rsidP="00226C98">
      <w:pPr>
        <w:pStyle w:val="ListParagraph"/>
      </w:pPr>
    </w:p>
    <w:p w14:paraId="64ADB47D" w14:textId="11D00846" w:rsidR="00226C98" w:rsidRDefault="00226C98" w:rsidP="00226C98">
      <w:pPr>
        <w:rPr>
          <w:b/>
          <w:bCs/>
        </w:rPr>
      </w:pPr>
      <w:r w:rsidRPr="00226C98">
        <w:rPr>
          <w:b/>
          <w:bCs/>
        </w:rPr>
        <w:t>A Trustee must:</w:t>
      </w:r>
    </w:p>
    <w:p w14:paraId="73B93E36" w14:textId="77777777" w:rsidR="00226C98" w:rsidRPr="00226C98" w:rsidRDefault="00226C98" w:rsidP="00226C98"/>
    <w:p w14:paraId="76F2041C" w14:textId="77777777" w:rsidR="00226C98" w:rsidRPr="00226C98" w:rsidRDefault="00226C98" w:rsidP="00226C98">
      <w:r w:rsidRPr="00226C98">
        <w:rPr>
          <w:b/>
          <w:bCs/>
        </w:rPr>
        <w:t>a)</w:t>
      </w:r>
      <w:r w:rsidRPr="00226C98">
        <w:t xml:space="preserve"> Treat their fellow Trustees, staff (whether contracted or employed) and members of</w:t>
      </w:r>
    </w:p>
    <w:p w14:paraId="0B777A59" w14:textId="68DD95F7" w:rsidR="00226C98" w:rsidRPr="00226C98" w:rsidRDefault="002A23F6" w:rsidP="00226C98">
      <w:r w:rsidRPr="002A23F6">
        <w:rPr>
          <w:b/>
          <w:bCs/>
        </w:rPr>
        <w:t>COMPANY NAME</w:t>
      </w:r>
      <w:r w:rsidR="00226C98">
        <w:t xml:space="preserve"> with respect and courtesy at all times and must not discriminate against any</w:t>
      </w:r>
      <w:r>
        <w:t xml:space="preserve"> </w:t>
      </w:r>
      <w:r w:rsidR="00226C98" w:rsidRPr="00226C98">
        <w:t>person.</w:t>
      </w:r>
    </w:p>
    <w:p w14:paraId="0E89F259" w14:textId="64F1B411" w:rsidR="00226C98" w:rsidRPr="00226C98" w:rsidRDefault="00226C98" w:rsidP="00226C98">
      <w:r w:rsidRPr="00226C98">
        <w:rPr>
          <w:b/>
          <w:bCs/>
        </w:rPr>
        <w:t>b)</w:t>
      </w:r>
      <w:r w:rsidRPr="00226C98">
        <w:t xml:space="preserve"> Not disclose information given in confidence to the Board unless required by</w:t>
      </w:r>
      <w:r>
        <w:t xml:space="preserve"> </w:t>
      </w:r>
      <w:r w:rsidRPr="00226C98">
        <w:t>law to do so.</w:t>
      </w:r>
    </w:p>
    <w:p w14:paraId="1F9A18C4" w14:textId="5BFE5E3E" w:rsidR="00226C98" w:rsidRPr="00226C98" w:rsidRDefault="00226C98" w:rsidP="00226C98">
      <w:r w:rsidRPr="00226C98">
        <w:rPr>
          <w:b/>
          <w:bCs/>
        </w:rPr>
        <w:t>c)</w:t>
      </w:r>
      <w:r>
        <w:t xml:space="preserve"> </w:t>
      </w:r>
      <w:r w:rsidRPr="00226C98">
        <w:t>Not prevent another person from gaining access to information to which that</w:t>
      </w:r>
      <w:r>
        <w:t xml:space="preserve"> </w:t>
      </w:r>
      <w:r w:rsidRPr="00226C98">
        <w:t>person is entitled by law.</w:t>
      </w:r>
    </w:p>
    <w:p w14:paraId="34B35CAB" w14:textId="5B87675E" w:rsidR="00226C98" w:rsidRPr="00226C98" w:rsidRDefault="00226C98" w:rsidP="00226C98">
      <w:r w:rsidRPr="50C488D0">
        <w:rPr>
          <w:b/>
          <w:bCs/>
        </w:rPr>
        <w:t>d)</w:t>
      </w:r>
      <w:r>
        <w:t xml:space="preserve"> Not conduct themself in a manner which could reasonably be regarded as bringing the Board or the </w:t>
      </w:r>
      <w:r w:rsidR="002A23F6" w:rsidRPr="002A23F6">
        <w:rPr>
          <w:b/>
          <w:bCs/>
        </w:rPr>
        <w:t>COMPANY NAME</w:t>
      </w:r>
      <w:r>
        <w:t xml:space="preserve"> into disrepute.</w:t>
      </w:r>
    </w:p>
    <w:p w14:paraId="1B06C0E4" w14:textId="72D72CE5" w:rsidR="00226C98" w:rsidRPr="00226C98" w:rsidRDefault="00226C98" w:rsidP="00226C98">
      <w:r w:rsidRPr="00226C98">
        <w:rPr>
          <w:b/>
          <w:bCs/>
        </w:rPr>
        <w:t>e)</w:t>
      </w:r>
      <w:r>
        <w:t xml:space="preserve"> </w:t>
      </w:r>
      <w:r w:rsidRPr="00226C98">
        <w:t>Not use his/her position improperly to confer on, or secure for any person or</w:t>
      </w:r>
      <w:r>
        <w:t xml:space="preserve"> </w:t>
      </w:r>
      <w:r w:rsidRPr="00226C98">
        <w:t>organisation, an advantage or disadvantage.</w:t>
      </w:r>
    </w:p>
    <w:p w14:paraId="059656D0" w14:textId="44A3319D" w:rsidR="00226C98" w:rsidRPr="00226C98" w:rsidRDefault="00226C98" w:rsidP="00226C98">
      <w:r w:rsidRPr="00226C98">
        <w:rPr>
          <w:b/>
          <w:bCs/>
        </w:rPr>
        <w:t>f)</w:t>
      </w:r>
      <w:r>
        <w:t xml:space="preserve"> </w:t>
      </w:r>
      <w:r w:rsidRPr="00226C98">
        <w:t>Ensure the resources of the Trust are used prudently, in accordance with</w:t>
      </w:r>
      <w:r>
        <w:t xml:space="preserve"> </w:t>
      </w:r>
      <w:r w:rsidRPr="00226C98">
        <w:t>the law and, where appropriate, in compliance with the guidance of the Scottish charity</w:t>
      </w:r>
      <w:r w:rsidR="00FA3F97">
        <w:t xml:space="preserve"> </w:t>
      </w:r>
      <w:r w:rsidRPr="00226C98">
        <w:t>regulator OSCR</w:t>
      </w:r>
      <w:r>
        <w:t>.</w:t>
      </w:r>
      <w:r w:rsidRPr="00226C98">
        <w:t xml:space="preserve"> </w:t>
      </w:r>
    </w:p>
    <w:p w14:paraId="07FEB60A" w14:textId="218E250C" w:rsidR="00226C98" w:rsidRDefault="00226C98" w:rsidP="00226C98">
      <w:r w:rsidRPr="50C488D0">
        <w:rPr>
          <w:b/>
          <w:bCs/>
        </w:rPr>
        <w:t>g)</w:t>
      </w:r>
      <w:r>
        <w:t xml:space="preserve"> Ensure that the resources of the </w:t>
      </w:r>
      <w:r w:rsidR="002A23F6" w:rsidRPr="002A23F6">
        <w:rPr>
          <w:b/>
          <w:bCs/>
        </w:rPr>
        <w:t>COMPANY NAME</w:t>
      </w:r>
      <w:r>
        <w:t xml:space="preserve"> are not used for the activities of a registered political party or of a single faith organisation.</w:t>
      </w:r>
    </w:p>
    <w:p w14:paraId="57094383" w14:textId="77777777" w:rsidR="00226C98" w:rsidRPr="00226C98" w:rsidRDefault="00226C98" w:rsidP="00226C98"/>
    <w:p w14:paraId="519A6231" w14:textId="0446551B" w:rsidR="00226C98" w:rsidRDefault="00226C98" w:rsidP="00226C98">
      <w:pPr>
        <w:rPr>
          <w:b/>
          <w:bCs/>
        </w:rPr>
      </w:pPr>
      <w:r w:rsidRPr="00226C98">
        <w:rPr>
          <w:b/>
          <w:bCs/>
        </w:rPr>
        <w:t>When reaching decisions, Trustees must:</w:t>
      </w:r>
    </w:p>
    <w:p w14:paraId="5C2A4894" w14:textId="77777777" w:rsidR="00226C98" w:rsidRPr="00226C98" w:rsidRDefault="00226C98" w:rsidP="00226C98"/>
    <w:p w14:paraId="2AB5D35C" w14:textId="79BCF918" w:rsidR="00226C98" w:rsidRPr="00226C98" w:rsidRDefault="00226C98" w:rsidP="00226C98">
      <w:r w:rsidRPr="00213929">
        <w:rPr>
          <w:b/>
          <w:bCs/>
        </w:rPr>
        <w:t>a)</w:t>
      </w:r>
      <w:r>
        <w:t xml:space="preserve"> </w:t>
      </w:r>
      <w:r w:rsidRPr="00226C98">
        <w:t>Take decisions solely on merit.</w:t>
      </w:r>
    </w:p>
    <w:p w14:paraId="0EB29AB1" w14:textId="7760B970" w:rsidR="00226C98" w:rsidRPr="00226C98" w:rsidRDefault="00226C98" w:rsidP="00226C98">
      <w:r w:rsidRPr="50C488D0">
        <w:rPr>
          <w:b/>
          <w:bCs/>
        </w:rPr>
        <w:t>b)</w:t>
      </w:r>
      <w:r>
        <w:t xml:space="preserve"> Take decisions in the best interests of the </w:t>
      </w:r>
      <w:r w:rsidR="002A23F6" w:rsidRPr="002A23F6">
        <w:rPr>
          <w:b/>
          <w:bCs/>
        </w:rPr>
        <w:t>COMPANY NAME</w:t>
      </w:r>
      <w:r>
        <w:t xml:space="preserve"> and the wider community, and not act to gain unfair advantage for themselves or organisations to which they belong or have</w:t>
      </w:r>
      <w:r w:rsidR="00584426">
        <w:t xml:space="preserve"> </w:t>
      </w:r>
      <w:r w:rsidRPr="00226C98">
        <w:t>a pecuniary interest in.</w:t>
      </w:r>
    </w:p>
    <w:p w14:paraId="17D2D733" w14:textId="24CAA86F" w:rsidR="00226C98" w:rsidRPr="00226C98" w:rsidRDefault="00226C98" w:rsidP="00226C98">
      <w:r w:rsidRPr="00213929">
        <w:rPr>
          <w:b/>
          <w:bCs/>
        </w:rPr>
        <w:t>c)</w:t>
      </w:r>
      <w:r>
        <w:t xml:space="preserve"> </w:t>
      </w:r>
      <w:r w:rsidRPr="00226C98">
        <w:t>Act honestly, and declare any private interests or potential conflicts of interest</w:t>
      </w:r>
      <w:r>
        <w:t xml:space="preserve"> </w:t>
      </w:r>
      <w:r w:rsidRPr="00226C98">
        <w:t>(see Section 3)</w:t>
      </w:r>
    </w:p>
    <w:p w14:paraId="3E02F0CF" w14:textId="0928EBDC" w:rsidR="00226C98" w:rsidRPr="00226C98" w:rsidRDefault="00226C98" w:rsidP="00226C98">
      <w:r w:rsidRPr="00213929">
        <w:rPr>
          <w:b/>
          <w:bCs/>
        </w:rPr>
        <w:t>d)</w:t>
      </w:r>
      <w:r>
        <w:t xml:space="preserve"> </w:t>
      </w:r>
      <w:r w:rsidRPr="00226C98">
        <w:t>Trustees must be as open as is possible and practical about decisions made by</w:t>
      </w:r>
      <w:r w:rsidR="00FA3F97">
        <w:t xml:space="preserve"> </w:t>
      </w:r>
      <w:r w:rsidRPr="00226C98">
        <w:t>the Board.</w:t>
      </w:r>
    </w:p>
    <w:p w14:paraId="3BB15BE1" w14:textId="77777777" w:rsidR="00226C98" w:rsidRDefault="00226C98" w:rsidP="00226C98"/>
    <w:p w14:paraId="7D7B3F4F" w14:textId="77777777" w:rsidR="00FA3F97" w:rsidRDefault="00FA3F97" w:rsidP="00226C98"/>
    <w:p w14:paraId="2809F28B" w14:textId="77777777" w:rsidR="00FA3F97" w:rsidRDefault="00FA3F97" w:rsidP="00226C98"/>
    <w:p w14:paraId="11DD15A3" w14:textId="47AFBB4D" w:rsidR="00226C98" w:rsidRDefault="00226C98" w:rsidP="00226C98">
      <w:pPr>
        <w:rPr>
          <w:b/>
          <w:bCs/>
        </w:rPr>
      </w:pPr>
      <w:r w:rsidRPr="00226C98">
        <w:rPr>
          <w:b/>
          <w:bCs/>
        </w:rPr>
        <w:lastRenderedPageBreak/>
        <w:t>A Trustee must report:</w:t>
      </w:r>
    </w:p>
    <w:p w14:paraId="16AA2EF6" w14:textId="77777777" w:rsidR="00226C98" w:rsidRPr="00226C98" w:rsidRDefault="00226C98" w:rsidP="00226C98"/>
    <w:p w14:paraId="6993B8EC" w14:textId="77777777" w:rsidR="00226C98" w:rsidRPr="00226C98" w:rsidRDefault="00226C98" w:rsidP="00226C98">
      <w:r w:rsidRPr="00226C98">
        <w:t>Any conduct by another Board member which is believed to be a material breach of this</w:t>
      </w:r>
    </w:p>
    <w:p w14:paraId="62B7E8A3" w14:textId="1508F48C" w:rsidR="00226C98" w:rsidRDefault="00226C98" w:rsidP="00226C98">
      <w:r w:rsidRPr="00226C98">
        <w:t xml:space="preserve">code to the Chair. </w:t>
      </w:r>
      <w:r w:rsidR="00213929">
        <w:t xml:space="preserve"> </w:t>
      </w:r>
      <w:r w:rsidRPr="00226C98">
        <w:t>In the event that the report relates to the conduct of the Chair, such</w:t>
      </w:r>
      <w:r>
        <w:t xml:space="preserve"> </w:t>
      </w:r>
      <w:r w:rsidRPr="00226C98">
        <w:t>reports should be submitted to the Vice-Chair.</w:t>
      </w:r>
    </w:p>
    <w:p w14:paraId="0CBEC3E5" w14:textId="77777777" w:rsidR="00226C98" w:rsidRDefault="00226C98" w:rsidP="00226C98"/>
    <w:p w14:paraId="25B9B9DC" w14:textId="77777777" w:rsidR="00226C98" w:rsidRDefault="00226C98" w:rsidP="00226C98">
      <w:pPr>
        <w:rPr>
          <w:b/>
          <w:bCs/>
        </w:rPr>
      </w:pPr>
      <w:r w:rsidRPr="00226C98">
        <w:rPr>
          <w:b/>
          <w:bCs/>
        </w:rPr>
        <w:t>3. Personal Interests</w:t>
      </w:r>
    </w:p>
    <w:p w14:paraId="578F9C22" w14:textId="77777777" w:rsidR="00226C98" w:rsidRPr="00226C98" w:rsidRDefault="00226C98" w:rsidP="00226C98"/>
    <w:p w14:paraId="611BEC62" w14:textId="4EB5E563" w:rsidR="00226C98" w:rsidRPr="00226C98" w:rsidRDefault="00226C98" w:rsidP="00226C98">
      <w:r w:rsidRPr="00213929">
        <w:rPr>
          <w:b/>
          <w:bCs/>
        </w:rPr>
        <w:t>a)</w:t>
      </w:r>
      <w:r>
        <w:t xml:space="preserve"> </w:t>
      </w:r>
      <w:r w:rsidRPr="00226C98">
        <w:t>On their appointment to the Board as Trustee he/she will notify the Company Secretary</w:t>
      </w:r>
    </w:p>
    <w:p w14:paraId="0748660A" w14:textId="77777777" w:rsidR="00226C98" w:rsidRPr="00226C98" w:rsidRDefault="00226C98" w:rsidP="00226C98">
      <w:r w:rsidRPr="00226C98">
        <w:t>of any personal interest which may give rise to potential or real conflicts of interest, or</w:t>
      </w:r>
    </w:p>
    <w:p w14:paraId="7F7F3976" w14:textId="77777777" w:rsidR="00226C98" w:rsidRDefault="00226C98" w:rsidP="00226C98">
      <w:r w:rsidRPr="00226C98">
        <w:t>as they arise at any time in the future.</w:t>
      </w:r>
    </w:p>
    <w:p w14:paraId="17D4EAEC" w14:textId="4A8C95CC" w:rsidR="00226C98" w:rsidRPr="00226C98" w:rsidRDefault="00226C98" w:rsidP="00226C98">
      <w:r w:rsidRPr="00213929">
        <w:rPr>
          <w:b/>
          <w:bCs/>
        </w:rPr>
        <w:t>b)</w:t>
      </w:r>
      <w:r>
        <w:t xml:space="preserve"> </w:t>
      </w:r>
      <w:r w:rsidRPr="00226C98">
        <w:t>The Company Secretary will hold a register of pecuniary and non-pecuniary</w:t>
      </w:r>
      <w:r>
        <w:t xml:space="preserve"> </w:t>
      </w:r>
      <w:r w:rsidRPr="00226C98">
        <w:t>interests, and this will be available for inspection by the Board at any time, and by</w:t>
      </w:r>
      <w:r w:rsidR="00FA3F97">
        <w:t xml:space="preserve"> </w:t>
      </w:r>
      <w:r w:rsidRPr="00226C98">
        <w:t>members on written application. The register will be reviewed and updated</w:t>
      </w:r>
      <w:r>
        <w:t xml:space="preserve"> </w:t>
      </w:r>
      <w:r w:rsidRPr="00226C98">
        <w:t>annually.</w:t>
      </w:r>
    </w:p>
    <w:p w14:paraId="6A7ABE08" w14:textId="254FC61B" w:rsidR="00226C98" w:rsidRDefault="00226C98" w:rsidP="00226C98">
      <w:r w:rsidRPr="00213929">
        <w:rPr>
          <w:b/>
          <w:bCs/>
        </w:rPr>
        <w:t>c)</w:t>
      </w:r>
      <w:r>
        <w:t xml:space="preserve"> </w:t>
      </w:r>
      <w:r w:rsidRPr="00226C98">
        <w:t>A Trustee must declare any conflict of interest, whether previously notified or</w:t>
      </w:r>
      <w:r w:rsidR="00FA3F97">
        <w:t xml:space="preserve"> </w:t>
      </w:r>
      <w:r w:rsidRPr="00226C98">
        <w:t>otherwise, at any meeting where it is likely to arise, and will accept the ruling of</w:t>
      </w:r>
      <w:r w:rsidR="00FA3F97">
        <w:t xml:space="preserve"> </w:t>
      </w:r>
      <w:r w:rsidRPr="00226C98">
        <w:t>the Chair of the</w:t>
      </w:r>
      <w:r w:rsidR="00FA3F97">
        <w:t xml:space="preserve"> </w:t>
      </w:r>
      <w:r w:rsidRPr="00226C98">
        <w:t>meeting as to whether or not they should take further part in</w:t>
      </w:r>
      <w:r w:rsidR="00FA3F97">
        <w:t xml:space="preserve"> </w:t>
      </w:r>
      <w:r w:rsidRPr="00226C98">
        <w:t xml:space="preserve">discussion or decision on that item. </w:t>
      </w:r>
    </w:p>
    <w:p w14:paraId="118A46DC" w14:textId="162A32E1" w:rsidR="00226C98" w:rsidRPr="00226C98" w:rsidRDefault="00226C98" w:rsidP="00226C98">
      <w:r w:rsidRPr="00213929">
        <w:rPr>
          <w:b/>
          <w:bCs/>
        </w:rPr>
        <w:t>d)</w:t>
      </w:r>
      <w:r>
        <w:t xml:space="preserve"> </w:t>
      </w:r>
      <w:r w:rsidRPr="00226C98">
        <w:t>The declaration and actions taken must b</w:t>
      </w:r>
      <w:r>
        <w:t>e</w:t>
      </w:r>
      <w:r w:rsidRPr="00226C98">
        <w:t xml:space="preserve"> recorded in the meeting minute.</w:t>
      </w:r>
    </w:p>
    <w:p w14:paraId="00CD1CB3" w14:textId="207D89D6" w:rsidR="00226C98" w:rsidRPr="00226C98" w:rsidRDefault="00226C98" w:rsidP="00226C98">
      <w:r w:rsidRPr="00213929">
        <w:rPr>
          <w:b/>
          <w:bCs/>
        </w:rPr>
        <w:t>e)</w:t>
      </w:r>
      <w:r>
        <w:t xml:space="preserve"> </w:t>
      </w:r>
      <w:r w:rsidRPr="00226C98">
        <w:t>All Trustees have a duty to raise any potential conflicts of interest and to ensure that all</w:t>
      </w:r>
    </w:p>
    <w:p w14:paraId="57D2AA09" w14:textId="77777777" w:rsidR="00226C98" w:rsidRDefault="00226C98" w:rsidP="00226C98">
      <w:r w:rsidRPr="00226C98">
        <w:t>such potential conflicts of interest are resolved.</w:t>
      </w:r>
    </w:p>
    <w:p w14:paraId="0B098CF4" w14:textId="77777777" w:rsidR="00226C98" w:rsidRPr="00226C98" w:rsidRDefault="00226C98" w:rsidP="00226C98"/>
    <w:p w14:paraId="47D1FF26" w14:textId="77777777" w:rsidR="00226C98" w:rsidRDefault="00226C98" w:rsidP="00226C98">
      <w:pPr>
        <w:rPr>
          <w:b/>
          <w:bCs/>
        </w:rPr>
      </w:pPr>
      <w:r w:rsidRPr="00226C98">
        <w:rPr>
          <w:b/>
          <w:bCs/>
        </w:rPr>
        <w:t>4. Registration of Gifts and Hospitality</w:t>
      </w:r>
    </w:p>
    <w:p w14:paraId="78290236" w14:textId="77777777" w:rsidR="00226C98" w:rsidRPr="00226C98" w:rsidRDefault="00226C98" w:rsidP="00226C98"/>
    <w:p w14:paraId="5E363EFA" w14:textId="77777777" w:rsidR="00226C98" w:rsidRDefault="00226C98" w:rsidP="00226C98">
      <w:pPr>
        <w:rPr>
          <w:b/>
          <w:bCs/>
        </w:rPr>
      </w:pPr>
      <w:r w:rsidRPr="00226C98">
        <w:rPr>
          <w:b/>
          <w:bCs/>
        </w:rPr>
        <w:t>A Trustee must notify:</w:t>
      </w:r>
    </w:p>
    <w:p w14:paraId="30007182" w14:textId="77777777" w:rsidR="00226C98" w:rsidRPr="00226C98" w:rsidRDefault="00226C98" w:rsidP="00226C98"/>
    <w:p w14:paraId="1B6C2CD9" w14:textId="1D300C98" w:rsidR="00226C98" w:rsidRDefault="00226C98" w:rsidP="00226C98">
      <w:r w:rsidRPr="00226C98">
        <w:t>The Company Secretary of the existence and nature of any</w:t>
      </w:r>
      <w:r w:rsidR="000C66DE">
        <w:t xml:space="preserve"> </w:t>
      </w:r>
      <w:r w:rsidRPr="00226C98">
        <w:t>gifts, benefits or hospitality offered, whether accepted or declined, from any</w:t>
      </w:r>
      <w:r w:rsidR="000C66DE">
        <w:t xml:space="preserve"> </w:t>
      </w:r>
      <w:r w:rsidRPr="00226C98">
        <w:t>relevant authority, any member of a relevant authority or any other relevant</w:t>
      </w:r>
      <w:r w:rsidR="000C66DE">
        <w:t xml:space="preserve"> </w:t>
      </w:r>
      <w:r w:rsidRPr="00226C98">
        <w:t>organisation or person.</w:t>
      </w:r>
    </w:p>
    <w:p w14:paraId="137FEB61" w14:textId="77777777" w:rsidR="00226C98" w:rsidRPr="00226C98" w:rsidRDefault="00226C98" w:rsidP="00226C98"/>
    <w:p w14:paraId="20014971" w14:textId="77777777" w:rsidR="00226C98" w:rsidRDefault="00226C98" w:rsidP="00226C98">
      <w:pPr>
        <w:rPr>
          <w:b/>
          <w:bCs/>
        </w:rPr>
      </w:pPr>
      <w:r w:rsidRPr="00226C98">
        <w:rPr>
          <w:b/>
          <w:bCs/>
        </w:rPr>
        <w:t>5. Breach Protocol</w:t>
      </w:r>
    </w:p>
    <w:p w14:paraId="15171F51" w14:textId="77777777" w:rsidR="00226C98" w:rsidRPr="00226C98" w:rsidRDefault="00226C98" w:rsidP="00226C98"/>
    <w:p w14:paraId="6C6B27E6" w14:textId="77777777" w:rsidR="00226C98" w:rsidRPr="00226C98" w:rsidRDefault="00226C98" w:rsidP="00226C98">
      <w:r w:rsidRPr="00226C98">
        <w:t>In the event of a reported breach of this Code of Conduct, refer to the Disciplinary and</w:t>
      </w:r>
    </w:p>
    <w:p w14:paraId="65E69711" w14:textId="39C63D0E" w:rsidR="00226C98" w:rsidRDefault="00226C98" w:rsidP="00226C98">
      <w:r>
        <w:t xml:space="preserve">Grievance Policies for </w:t>
      </w:r>
      <w:r w:rsidR="002A23F6" w:rsidRPr="002A23F6">
        <w:rPr>
          <w:b/>
          <w:bCs/>
        </w:rPr>
        <w:t>COMPANY NAME</w:t>
      </w:r>
      <w:r>
        <w:t>.</w:t>
      </w:r>
    </w:p>
    <w:p w14:paraId="4643C3FD" w14:textId="77777777" w:rsidR="00226C98" w:rsidRDefault="00226C98" w:rsidP="00226C98"/>
    <w:p w14:paraId="67DAC3DE" w14:textId="45C0EC43" w:rsidR="00226C98" w:rsidRPr="00226C98" w:rsidRDefault="00226C98" w:rsidP="00226C98">
      <w:pPr>
        <w:rPr>
          <w:b/>
          <w:bCs/>
        </w:rPr>
      </w:pPr>
      <w:r w:rsidRPr="00226C98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26C98" w14:paraId="6A2288FE" w14:textId="77777777" w:rsidTr="2B8EF843">
        <w:tc>
          <w:tcPr>
            <w:tcW w:w="2254" w:type="dxa"/>
          </w:tcPr>
          <w:p w14:paraId="063310F3" w14:textId="31E86681" w:rsidR="00226C98" w:rsidRDefault="00226C98" w:rsidP="00226C98">
            <w:r>
              <w:t>Version</w:t>
            </w:r>
          </w:p>
        </w:tc>
        <w:tc>
          <w:tcPr>
            <w:tcW w:w="2254" w:type="dxa"/>
          </w:tcPr>
          <w:p w14:paraId="701DDC4B" w14:textId="0F57CBFB" w:rsidR="00226C98" w:rsidRDefault="00226C98" w:rsidP="00226C98">
            <w:r>
              <w:t>Author</w:t>
            </w:r>
          </w:p>
        </w:tc>
        <w:tc>
          <w:tcPr>
            <w:tcW w:w="2254" w:type="dxa"/>
          </w:tcPr>
          <w:p w14:paraId="449914EB" w14:textId="6768A2F3" w:rsidR="00226C98" w:rsidRDefault="00226C98" w:rsidP="00226C98">
            <w:r>
              <w:t>Date</w:t>
            </w:r>
          </w:p>
        </w:tc>
        <w:tc>
          <w:tcPr>
            <w:tcW w:w="2254" w:type="dxa"/>
          </w:tcPr>
          <w:p w14:paraId="3FC455F6" w14:textId="7E18BBAD" w:rsidR="00226C98" w:rsidRDefault="00226C98" w:rsidP="00226C98">
            <w:r>
              <w:t xml:space="preserve">Approved by </w:t>
            </w:r>
            <w:r w:rsidR="002A23F6" w:rsidRPr="002A23F6">
              <w:rPr>
                <w:b/>
                <w:bCs/>
              </w:rPr>
              <w:t>COMPANY NAME</w:t>
            </w:r>
          </w:p>
        </w:tc>
      </w:tr>
      <w:tr w:rsidR="00226C98" w14:paraId="0718BC11" w14:textId="77777777" w:rsidTr="2B8EF843">
        <w:tc>
          <w:tcPr>
            <w:tcW w:w="2254" w:type="dxa"/>
          </w:tcPr>
          <w:p w14:paraId="49EE752E" w14:textId="44767F33" w:rsidR="00226C98" w:rsidRDefault="00226C98" w:rsidP="00226C98">
            <w:r>
              <w:t>1</w:t>
            </w:r>
          </w:p>
        </w:tc>
        <w:tc>
          <w:tcPr>
            <w:tcW w:w="2254" w:type="dxa"/>
          </w:tcPr>
          <w:p w14:paraId="5C1237AE" w14:textId="684EBABA" w:rsidR="00226C98" w:rsidRDefault="00226C98" w:rsidP="00226C98"/>
        </w:tc>
        <w:tc>
          <w:tcPr>
            <w:tcW w:w="2254" w:type="dxa"/>
          </w:tcPr>
          <w:p w14:paraId="41EF0379" w14:textId="2F5E4E68" w:rsidR="00226C98" w:rsidRDefault="00226C98" w:rsidP="00226C98"/>
        </w:tc>
        <w:tc>
          <w:tcPr>
            <w:tcW w:w="2254" w:type="dxa"/>
          </w:tcPr>
          <w:p w14:paraId="09651D11" w14:textId="77777777" w:rsidR="00226C98" w:rsidRDefault="00226C98" w:rsidP="00226C98"/>
        </w:tc>
      </w:tr>
    </w:tbl>
    <w:p w14:paraId="794AC90E" w14:textId="77777777" w:rsidR="00226C98" w:rsidRPr="00D66CDC" w:rsidRDefault="00226C98" w:rsidP="00213929">
      <w:pPr>
        <w:rPr>
          <w:sz w:val="28"/>
          <w:szCs w:val="28"/>
        </w:rPr>
      </w:pPr>
    </w:p>
    <w:sectPr w:rsidR="00226C98" w:rsidRPr="00D66CDC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7854" w14:textId="77777777" w:rsidR="008C13BA" w:rsidRDefault="008C13BA" w:rsidP="00213929">
      <w:r>
        <w:separator/>
      </w:r>
    </w:p>
  </w:endnote>
  <w:endnote w:type="continuationSeparator" w:id="0">
    <w:p w14:paraId="6844B51A" w14:textId="77777777" w:rsidR="008C13BA" w:rsidRDefault="008C13BA" w:rsidP="002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9004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B7DFE5" w14:textId="0B76A4EE" w:rsidR="00213929" w:rsidRDefault="00213929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9693FB" w14:textId="77777777" w:rsidR="00213929" w:rsidRDefault="00213929" w:rsidP="002139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367305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7763E2" w14:textId="7CD93DA8" w:rsidR="00213929" w:rsidRDefault="00213929" w:rsidP="00285B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F23210" w14:textId="77777777" w:rsidR="00213929" w:rsidRDefault="00213929" w:rsidP="002139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DCAC2" w14:textId="77777777" w:rsidR="008C13BA" w:rsidRDefault="008C13BA" w:rsidP="00213929">
      <w:r>
        <w:separator/>
      </w:r>
    </w:p>
  </w:footnote>
  <w:footnote w:type="continuationSeparator" w:id="0">
    <w:p w14:paraId="4CDE8FBF" w14:textId="77777777" w:rsidR="008C13BA" w:rsidRDefault="008C13BA" w:rsidP="0021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30CC"/>
    <w:multiLevelType w:val="hybridMultilevel"/>
    <w:tmpl w:val="C3F40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70DE"/>
    <w:multiLevelType w:val="hybridMultilevel"/>
    <w:tmpl w:val="F8D00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94B42"/>
    <w:multiLevelType w:val="hybridMultilevel"/>
    <w:tmpl w:val="F4B095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845">
    <w:abstractNumId w:val="0"/>
  </w:num>
  <w:num w:numId="2" w16cid:durableId="1491167421">
    <w:abstractNumId w:val="2"/>
  </w:num>
  <w:num w:numId="3" w16cid:durableId="110365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0C66DE"/>
    <w:rsid w:val="001A623F"/>
    <w:rsid w:val="00213929"/>
    <w:rsid w:val="00226C98"/>
    <w:rsid w:val="002A23F6"/>
    <w:rsid w:val="004240D6"/>
    <w:rsid w:val="004E4479"/>
    <w:rsid w:val="00584426"/>
    <w:rsid w:val="00602410"/>
    <w:rsid w:val="0061413E"/>
    <w:rsid w:val="008C13BA"/>
    <w:rsid w:val="008E1C8A"/>
    <w:rsid w:val="00C51502"/>
    <w:rsid w:val="00C83C59"/>
    <w:rsid w:val="00D66CDC"/>
    <w:rsid w:val="00DA0BAD"/>
    <w:rsid w:val="00E92B05"/>
    <w:rsid w:val="00EB4D2D"/>
    <w:rsid w:val="00FA3F97"/>
    <w:rsid w:val="087E2070"/>
    <w:rsid w:val="2B8EF843"/>
    <w:rsid w:val="2D5C73A8"/>
    <w:rsid w:val="34120B96"/>
    <w:rsid w:val="50C488D0"/>
    <w:rsid w:val="50C67B76"/>
    <w:rsid w:val="54DA9F78"/>
    <w:rsid w:val="5598B57E"/>
    <w:rsid w:val="640E01C9"/>
    <w:rsid w:val="675D6143"/>
    <w:rsid w:val="70BBE047"/>
    <w:rsid w:val="718E7EE8"/>
    <w:rsid w:val="789CF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6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C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3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929"/>
  </w:style>
  <w:style w:type="character" w:styleId="PageNumber">
    <w:name w:val="page number"/>
    <w:basedOn w:val="DefaultParagraphFont"/>
    <w:uiPriority w:val="99"/>
    <w:semiHidden/>
    <w:unhideWhenUsed/>
    <w:rsid w:val="0021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77A1D-BC56-4C05-A72C-90F5047F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5286F-DCA0-42AB-B6BB-E268256E5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296F-72DA-4303-BD4C-A676BA937BDE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8</cp:revision>
  <dcterms:created xsi:type="dcterms:W3CDTF">2025-02-09T19:02:00Z</dcterms:created>
  <dcterms:modified xsi:type="dcterms:W3CDTF">2025-05-08T10:45:00Z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